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E0" w:rsidRPr="00735ECD" w:rsidRDefault="000140DC">
      <w:pPr>
        <w:rPr>
          <w:b/>
          <w:u w:val="single"/>
        </w:rPr>
      </w:pPr>
      <w:r w:rsidRPr="00735ECD">
        <w:rPr>
          <w:b/>
          <w:u w:val="single"/>
        </w:rPr>
        <w:t xml:space="preserve">Members </w:t>
      </w:r>
      <w:r w:rsidR="002F7E34" w:rsidRPr="00735ECD">
        <w:rPr>
          <w:b/>
          <w:u w:val="single"/>
        </w:rPr>
        <w:t>Briefing Note</w:t>
      </w:r>
    </w:p>
    <w:p w:rsidR="002F7E34" w:rsidRPr="00735ECD" w:rsidRDefault="002F7E34">
      <w:pPr>
        <w:rPr>
          <w:b/>
          <w:u w:val="single"/>
        </w:rPr>
      </w:pPr>
      <w:r w:rsidRPr="00735ECD">
        <w:rPr>
          <w:b/>
          <w:u w:val="single"/>
        </w:rPr>
        <w:t>Changes to National Planning Practice Guidance (NPPG) – affordable housing thresholds and the vacant building credit</w:t>
      </w:r>
    </w:p>
    <w:p w:rsidR="002F7E34" w:rsidRPr="002F7E34" w:rsidRDefault="002F7E34">
      <w:pPr>
        <w:rPr>
          <w:b/>
        </w:rPr>
      </w:pPr>
      <w:r>
        <w:rPr>
          <w:b/>
        </w:rPr>
        <w:t>Introduction</w:t>
      </w:r>
    </w:p>
    <w:p w:rsidR="000140DC" w:rsidRDefault="002F7E34">
      <w:r>
        <w:t xml:space="preserve">Members will recall that </w:t>
      </w:r>
      <w:r w:rsidR="0070335C">
        <w:t>from 29</w:t>
      </w:r>
      <w:r w:rsidR="0070335C" w:rsidRPr="0070335C">
        <w:rPr>
          <w:vertAlign w:val="superscript"/>
        </w:rPr>
        <w:t>th</w:t>
      </w:r>
      <w:r w:rsidR="0070335C">
        <w:t xml:space="preserve"> </w:t>
      </w:r>
      <w:r>
        <w:t>November 2014, the Gover</w:t>
      </w:r>
      <w:r w:rsidR="000140DC">
        <w:t xml:space="preserve">nment, </w:t>
      </w:r>
      <w:r w:rsidR="0070335C">
        <w:t>via</w:t>
      </w:r>
      <w:r w:rsidR="000140DC">
        <w:t xml:space="preserve"> a Ministerial Statement and changes to the National Planning Practice Guidance (NPPG)</w:t>
      </w:r>
      <w:r w:rsidR="00735ECD">
        <w:t>,</w:t>
      </w:r>
      <w:r w:rsidR="000140DC">
        <w:t xml:space="preserve"> introduced a series of </w:t>
      </w:r>
      <w:r w:rsidR="0070335C">
        <w:t>changes to the planning system. T</w:t>
      </w:r>
      <w:r w:rsidR="000F68DF">
        <w:t xml:space="preserve">he effect of </w:t>
      </w:r>
      <w:r w:rsidR="0070335C">
        <w:t>these changes were</w:t>
      </w:r>
      <w:r w:rsidR="000F68DF">
        <w:t xml:space="preserve"> to </w:t>
      </w:r>
      <w:r w:rsidR="00735ECD">
        <w:t xml:space="preserve">impose a new national minimum threshold for affordable housing and </w:t>
      </w:r>
      <w:r w:rsidR="000F68DF">
        <w:t xml:space="preserve">exempt any sites of 10 or </w:t>
      </w:r>
      <w:r w:rsidR="00735ECD">
        <w:t>less</w:t>
      </w:r>
      <w:r w:rsidR="000F68DF">
        <w:t xml:space="preserve"> dwellings from any requirement to provide affordable housing. </w:t>
      </w:r>
      <w:r w:rsidR="00735ECD">
        <w:t>At the time t</w:t>
      </w:r>
      <w:r w:rsidR="000F68DF">
        <w:t xml:space="preserve">his raised the threshold beyond that which was contained within the Council’s adopted Local Development Framework document. </w:t>
      </w:r>
    </w:p>
    <w:p w:rsidR="0070335C" w:rsidRDefault="00735ECD">
      <w:r>
        <w:t>These changes also introduced</w:t>
      </w:r>
      <w:r w:rsidR="0070335C">
        <w:t xml:space="preserve"> discounts to be applied to </w:t>
      </w:r>
      <w:r>
        <w:t xml:space="preserve">affordable housing contributions where this included </w:t>
      </w:r>
      <w:r w:rsidR="0070335C">
        <w:t xml:space="preserve">redeveloping vacant buildings, </w:t>
      </w:r>
      <w:r>
        <w:t xml:space="preserve">and was </w:t>
      </w:r>
      <w:r w:rsidR="0070335C">
        <w:t>known as the ‘vacant buildings credit’.</w:t>
      </w:r>
    </w:p>
    <w:p w:rsidR="000F68DF" w:rsidRDefault="000F68DF">
      <w:r>
        <w:t xml:space="preserve">Earlier this year, </w:t>
      </w:r>
      <w:r w:rsidR="000140DC">
        <w:t>West Berks</w:t>
      </w:r>
      <w:r w:rsidR="00DB6677">
        <w:t>hire District Council</w:t>
      </w:r>
      <w:r w:rsidR="000140DC">
        <w:t xml:space="preserve"> and Reading </w:t>
      </w:r>
      <w:r w:rsidR="00DB6677">
        <w:t xml:space="preserve">Borough </w:t>
      </w:r>
      <w:r w:rsidR="000140DC">
        <w:t>Council brought a High Court challenge against the Government</w:t>
      </w:r>
      <w:r>
        <w:t xml:space="preserve"> to these changes. The o</w:t>
      </w:r>
      <w:r w:rsidR="000140DC">
        <w:t xml:space="preserve">utcome of </w:t>
      </w:r>
      <w:r>
        <w:t>these changes</w:t>
      </w:r>
      <w:r w:rsidR="000140DC">
        <w:t xml:space="preserve"> was announced this week</w:t>
      </w:r>
      <w:r>
        <w:t xml:space="preserve"> and Lord Justice </w:t>
      </w:r>
      <w:r w:rsidR="00DB6677">
        <w:t>Holgate</w:t>
      </w:r>
      <w:r>
        <w:t xml:space="preserve"> upheld the Councils challenge</w:t>
      </w:r>
      <w:r w:rsidR="000140DC">
        <w:t xml:space="preserve">. </w:t>
      </w:r>
    </w:p>
    <w:p w:rsidR="000F68DF" w:rsidRPr="000F68DF" w:rsidRDefault="000F68DF">
      <w:pPr>
        <w:rPr>
          <w:b/>
        </w:rPr>
      </w:pPr>
      <w:r w:rsidRPr="000F68DF">
        <w:rPr>
          <w:b/>
        </w:rPr>
        <w:t>Implications for Breckland</w:t>
      </w:r>
    </w:p>
    <w:p w:rsidR="002F7E34" w:rsidRDefault="002F7E34">
      <w:r>
        <w:t xml:space="preserve">Members are advised that effective from </w:t>
      </w:r>
      <w:r w:rsidR="000140DC">
        <w:t>Monday 4</w:t>
      </w:r>
      <w:r w:rsidR="000140DC" w:rsidRPr="000140DC">
        <w:rPr>
          <w:vertAlign w:val="superscript"/>
        </w:rPr>
        <w:t>th</w:t>
      </w:r>
      <w:r w:rsidR="000140DC">
        <w:t xml:space="preserve"> August</w:t>
      </w:r>
      <w:r>
        <w:t xml:space="preserve">, paragraphs 012-030 of the NPPG have been </w:t>
      </w:r>
      <w:r w:rsidR="00DB6677">
        <w:t xml:space="preserve">quashed and therefore </w:t>
      </w:r>
      <w:r>
        <w:t xml:space="preserve">deleted </w:t>
      </w:r>
      <w:r w:rsidR="00DB6677">
        <w:t xml:space="preserve">from the </w:t>
      </w:r>
      <w:r w:rsidR="00735ECD">
        <w:t>NPPG</w:t>
      </w:r>
      <w:r w:rsidR="00DB6677">
        <w:t xml:space="preserve"> </w:t>
      </w:r>
      <w:r>
        <w:t>as a result of t</w:t>
      </w:r>
      <w:r w:rsidR="000140DC">
        <w:t>he challenge</w:t>
      </w:r>
      <w:r>
        <w:t xml:space="preserve">. </w:t>
      </w:r>
      <w:r w:rsidR="00DB6677">
        <w:t xml:space="preserve">In addition, the Judge indicated that the Ministerial Statement that </w:t>
      </w:r>
      <w:r w:rsidR="00735ECD">
        <w:t xml:space="preserve">originally </w:t>
      </w:r>
      <w:r w:rsidR="00DB6677">
        <w:t xml:space="preserve">confirmed </w:t>
      </w:r>
      <w:r w:rsidR="00735ECD">
        <w:t>the changes</w:t>
      </w:r>
      <w:r w:rsidR="00DB6677">
        <w:t xml:space="preserve"> must not be treated as a material consideration for planning purposes. </w:t>
      </w:r>
    </w:p>
    <w:p w:rsidR="0070335C" w:rsidRDefault="002F7E34">
      <w:r>
        <w:t xml:space="preserve">The effect </w:t>
      </w:r>
      <w:r w:rsidR="00DB6677">
        <w:t>of these</w:t>
      </w:r>
      <w:r>
        <w:t xml:space="preserve"> change</w:t>
      </w:r>
      <w:r w:rsidR="00DB6677">
        <w:t>s</w:t>
      </w:r>
      <w:r>
        <w:t xml:space="preserve"> is to </w:t>
      </w:r>
      <w:r w:rsidR="00DB6677">
        <w:t>remove</w:t>
      </w:r>
      <w:r>
        <w:t xml:space="preserve"> these nationally imposed threshold</w:t>
      </w:r>
      <w:r w:rsidR="0070335C">
        <w:t>s</w:t>
      </w:r>
      <w:r w:rsidR="00DB6677">
        <w:t xml:space="preserve"> and the vacant building credit. I</w:t>
      </w:r>
      <w:r>
        <w:t xml:space="preserve">n </w:t>
      </w:r>
      <w:r w:rsidR="0070335C">
        <w:t>Breckland</w:t>
      </w:r>
      <w:r>
        <w:t xml:space="preserve"> Council’s case, this means that the affordable housing threshold returns to the position </w:t>
      </w:r>
      <w:r w:rsidR="007908BA">
        <w:t>prior to November</w:t>
      </w:r>
      <w:r w:rsidR="0070335C">
        <w:t xml:space="preserve"> 2014. </w:t>
      </w:r>
    </w:p>
    <w:p w:rsidR="002F7E34" w:rsidRDefault="0070335C">
      <w:r>
        <w:t>That position is</w:t>
      </w:r>
      <w:r w:rsidR="007908BA">
        <w:t xml:space="preserve"> that </w:t>
      </w:r>
      <w:r w:rsidR="002F7E34">
        <w:t xml:space="preserve">the </w:t>
      </w:r>
      <w:r w:rsidR="007908BA">
        <w:t xml:space="preserve">policy relating to affordable housing within </w:t>
      </w:r>
      <w:r w:rsidR="002F7E34">
        <w:t>Council’s adopted Core Strategy and Development Control Policies DPD</w:t>
      </w:r>
      <w:r w:rsidR="007908BA">
        <w:t xml:space="preserve"> (Policy DC4) </w:t>
      </w:r>
      <w:r>
        <w:t xml:space="preserve">once again </w:t>
      </w:r>
      <w:r w:rsidR="007908BA">
        <w:t>has primacy</w:t>
      </w:r>
      <w:r>
        <w:t xml:space="preserve"> as an adopted policy in general conformity with the NPPF</w:t>
      </w:r>
      <w:r w:rsidR="007908BA">
        <w:t xml:space="preserve">. Policy </w:t>
      </w:r>
      <w:r w:rsidR="000F68DF">
        <w:t xml:space="preserve">DC4 requires </w:t>
      </w:r>
      <w:r w:rsidR="002F7E34">
        <w:t xml:space="preserve">that </w:t>
      </w:r>
      <w:r w:rsidR="000F68DF">
        <w:t>sites of</w:t>
      </w:r>
      <w:r w:rsidR="002F7E34">
        <w:t xml:space="preserve"> 5 or more dwellings </w:t>
      </w:r>
      <w:r w:rsidR="007908BA">
        <w:t xml:space="preserve">or </w:t>
      </w:r>
      <w:r w:rsidR="000F68DF">
        <w:t>over</w:t>
      </w:r>
      <w:r w:rsidR="007908BA">
        <w:t xml:space="preserve"> 0.17ha or more </w:t>
      </w:r>
      <w:r w:rsidR="000F68DF">
        <w:t>are</w:t>
      </w:r>
      <w:r w:rsidR="007908BA">
        <w:t xml:space="preserve"> required to provide a proportion of affordable housing</w:t>
      </w:r>
      <w:r w:rsidR="00735ECD">
        <w:t xml:space="preserve"> (that being 40%)</w:t>
      </w:r>
      <w:r w:rsidR="007908BA">
        <w:t xml:space="preserve">. </w:t>
      </w:r>
    </w:p>
    <w:p w:rsidR="00FE43B6" w:rsidRDefault="00FE43B6">
      <w:r>
        <w:t xml:space="preserve">The changes will therefore have an impact on affordable housing delivery on both an operational and strategic level. </w:t>
      </w:r>
    </w:p>
    <w:p w:rsidR="00284316" w:rsidRDefault="00735ECD">
      <w:r>
        <w:t>Members are advised that t</w:t>
      </w:r>
      <w:r w:rsidR="00284316">
        <w:t xml:space="preserve">he Planning </w:t>
      </w:r>
      <w:r w:rsidR="0040461C">
        <w:t xml:space="preserve">and Housing </w:t>
      </w:r>
      <w:r w:rsidR="00284316">
        <w:t>Team</w:t>
      </w:r>
      <w:r w:rsidR="0040461C">
        <w:t>s</w:t>
      </w:r>
      <w:bookmarkStart w:id="0" w:name="_GoBack"/>
      <w:bookmarkEnd w:id="0"/>
      <w:r w:rsidR="00284316">
        <w:t xml:space="preserve"> are</w:t>
      </w:r>
      <w:r w:rsidR="00284316" w:rsidRPr="00284316">
        <w:t xml:space="preserve"> </w:t>
      </w:r>
      <w:r w:rsidR="0070335C">
        <w:t>now re-introducing</w:t>
      </w:r>
      <w:r w:rsidR="00284316" w:rsidRPr="00284316">
        <w:t xml:space="preserve"> </w:t>
      </w:r>
      <w:r w:rsidR="0070335C">
        <w:t>previously used</w:t>
      </w:r>
      <w:r w:rsidR="00284316" w:rsidRPr="00284316">
        <w:t xml:space="preserve"> procedures with immediate effect and </w:t>
      </w:r>
      <w:r w:rsidR="0070335C">
        <w:t xml:space="preserve">are </w:t>
      </w:r>
      <w:r w:rsidR="00284316" w:rsidRPr="00284316">
        <w:t>advis</w:t>
      </w:r>
      <w:r w:rsidR="0070335C">
        <w:t xml:space="preserve">ing agents and </w:t>
      </w:r>
      <w:r w:rsidR="00284316" w:rsidRPr="00284316">
        <w:t>applicants who have qualifying applications with the Council of the renewed Policy requirements. The impact of this successful challenge, which could be subject to a Gov</w:t>
      </w:r>
      <w:r w:rsidR="00284316">
        <w:t>ernmen</w:t>
      </w:r>
      <w:r w:rsidR="00284316" w:rsidRPr="00284316">
        <w:t xml:space="preserve">t appeal, will be reflected in the next Planning Committee agenda and in any decisions made from today. </w:t>
      </w:r>
    </w:p>
    <w:p w:rsidR="00735ECD" w:rsidRDefault="0070335C">
      <w:r>
        <w:t xml:space="preserve">These changes affect a number of applications currently under consideration but have not yet been determined the Council.  </w:t>
      </w:r>
      <w:r w:rsidR="00284316">
        <w:t>Members are advised</w:t>
      </w:r>
      <w:r w:rsidR="00284316" w:rsidRPr="00284316">
        <w:t xml:space="preserve"> that many of the current applications will require an agreed extension of time by the applicant given that all decisions for one house or more will again be subjec</w:t>
      </w:r>
      <w:r w:rsidR="00284316">
        <w:t>t</w:t>
      </w:r>
      <w:r w:rsidR="00284316" w:rsidRPr="00284316">
        <w:t xml:space="preserve"> to legal agreement</w:t>
      </w:r>
      <w:r w:rsidR="00284316">
        <w:t>s.</w:t>
      </w:r>
    </w:p>
    <w:p w:rsidR="00FE43B6" w:rsidRDefault="00FE43B6">
      <w:r>
        <w:t xml:space="preserve">As indicated above, it is expected that this High Court decision may itself be subject to further challenge by the Government and Members will be kept informed of any further developments in this regard. </w:t>
      </w:r>
    </w:p>
    <w:p w:rsidR="00735ECD" w:rsidRDefault="00735ECD">
      <w:r>
        <w:t>Members who may have further queries are advised to contact either Mike Brennan (</w:t>
      </w:r>
      <w:hyperlink r:id="rId4" w:history="1">
        <w:r w:rsidRPr="00604777">
          <w:rPr>
            <w:rStyle w:val="Hyperlink"/>
          </w:rPr>
          <w:t>mike.brennan@breckland.gov.uk</w:t>
        </w:r>
      </w:hyperlink>
      <w:r>
        <w:t>) or Phil Mileham (</w:t>
      </w:r>
      <w:hyperlink r:id="rId5" w:history="1">
        <w:r w:rsidRPr="00604777">
          <w:rPr>
            <w:rStyle w:val="Hyperlink"/>
          </w:rPr>
          <w:t>phil.mileham@breckland-sholland.gov.uk</w:t>
        </w:r>
      </w:hyperlink>
      <w:proofErr w:type="gramStart"/>
      <w:r>
        <w:t>) .</w:t>
      </w:r>
      <w:proofErr w:type="gramEnd"/>
    </w:p>
    <w:p w:rsidR="00735ECD" w:rsidRDefault="00735ECD"/>
    <w:p w:rsidR="000140DC" w:rsidRDefault="00735ECD">
      <w:r>
        <w:t>Phil Mileham</w:t>
      </w:r>
    </w:p>
    <w:sectPr w:rsidR="000140DC" w:rsidSect="00FE4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34"/>
    <w:rsid w:val="0000275A"/>
    <w:rsid w:val="0001402E"/>
    <w:rsid w:val="000140DC"/>
    <w:rsid w:val="00023AB6"/>
    <w:rsid w:val="0002691E"/>
    <w:rsid w:val="000278F3"/>
    <w:rsid w:val="000322DF"/>
    <w:rsid w:val="00046F6F"/>
    <w:rsid w:val="00053846"/>
    <w:rsid w:val="000551B2"/>
    <w:rsid w:val="000564C5"/>
    <w:rsid w:val="00056E86"/>
    <w:rsid w:val="000603AC"/>
    <w:rsid w:val="000620E1"/>
    <w:rsid w:val="00062A36"/>
    <w:rsid w:val="00066A3E"/>
    <w:rsid w:val="00071ADF"/>
    <w:rsid w:val="00086504"/>
    <w:rsid w:val="000918CA"/>
    <w:rsid w:val="00092BA7"/>
    <w:rsid w:val="00092C78"/>
    <w:rsid w:val="00093A5A"/>
    <w:rsid w:val="00097E5D"/>
    <w:rsid w:val="000A10FA"/>
    <w:rsid w:val="000A33D5"/>
    <w:rsid w:val="000B0DF7"/>
    <w:rsid w:val="000B30A8"/>
    <w:rsid w:val="000B3975"/>
    <w:rsid w:val="000B5136"/>
    <w:rsid w:val="000B61AE"/>
    <w:rsid w:val="000C216F"/>
    <w:rsid w:val="000C31D4"/>
    <w:rsid w:val="000E2925"/>
    <w:rsid w:val="000E29ED"/>
    <w:rsid w:val="000E3EA7"/>
    <w:rsid w:val="000E5B0A"/>
    <w:rsid w:val="000F0690"/>
    <w:rsid w:val="000F1BEA"/>
    <w:rsid w:val="000F68DF"/>
    <w:rsid w:val="00106D97"/>
    <w:rsid w:val="00110D47"/>
    <w:rsid w:val="00117404"/>
    <w:rsid w:val="00124557"/>
    <w:rsid w:val="00125492"/>
    <w:rsid w:val="0013599F"/>
    <w:rsid w:val="00141A3B"/>
    <w:rsid w:val="0014326A"/>
    <w:rsid w:val="00143704"/>
    <w:rsid w:val="00144DDD"/>
    <w:rsid w:val="00165007"/>
    <w:rsid w:val="00165226"/>
    <w:rsid w:val="001807D7"/>
    <w:rsid w:val="00183BB6"/>
    <w:rsid w:val="00192548"/>
    <w:rsid w:val="00196BBC"/>
    <w:rsid w:val="0019701D"/>
    <w:rsid w:val="001A5009"/>
    <w:rsid w:val="001C2681"/>
    <w:rsid w:val="001C4478"/>
    <w:rsid w:val="001C7760"/>
    <w:rsid w:val="001D2082"/>
    <w:rsid w:val="001D4871"/>
    <w:rsid w:val="001E22B0"/>
    <w:rsid w:val="001E7EFB"/>
    <w:rsid w:val="001F2DCF"/>
    <w:rsid w:val="001F3F6E"/>
    <w:rsid w:val="001F71B4"/>
    <w:rsid w:val="002014ED"/>
    <w:rsid w:val="00201C6D"/>
    <w:rsid w:val="00202790"/>
    <w:rsid w:val="002130FC"/>
    <w:rsid w:val="00215BD3"/>
    <w:rsid w:val="00216F39"/>
    <w:rsid w:val="00231115"/>
    <w:rsid w:val="00231286"/>
    <w:rsid w:val="00231C38"/>
    <w:rsid w:val="00235273"/>
    <w:rsid w:val="00235752"/>
    <w:rsid w:val="00241AF7"/>
    <w:rsid w:val="00252011"/>
    <w:rsid w:val="002557B7"/>
    <w:rsid w:val="00260C92"/>
    <w:rsid w:val="00260E61"/>
    <w:rsid w:val="002616D2"/>
    <w:rsid w:val="00266767"/>
    <w:rsid w:val="00267930"/>
    <w:rsid w:val="002713CC"/>
    <w:rsid w:val="0027315A"/>
    <w:rsid w:val="002746AC"/>
    <w:rsid w:val="00276884"/>
    <w:rsid w:val="00282036"/>
    <w:rsid w:val="00284316"/>
    <w:rsid w:val="0028504C"/>
    <w:rsid w:val="00286C58"/>
    <w:rsid w:val="00290AF4"/>
    <w:rsid w:val="002B1BB8"/>
    <w:rsid w:val="002B5FAB"/>
    <w:rsid w:val="002B61CC"/>
    <w:rsid w:val="002C1F0D"/>
    <w:rsid w:val="002C3514"/>
    <w:rsid w:val="002D0984"/>
    <w:rsid w:val="002D6EC4"/>
    <w:rsid w:val="002E172F"/>
    <w:rsid w:val="002E4D21"/>
    <w:rsid w:val="002E7746"/>
    <w:rsid w:val="002F4016"/>
    <w:rsid w:val="002F4068"/>
    <w:rsid w:val="002F44AF"/>
    <w:rsid w:val="002F7E34"/>
    <w:rsid w:val="00307374"/>
    <w:rsid w:val="00323421"/>
    <w:rsid w:val="0032406D"/>
    <w:rsid w:val="00330F1F"/>
    <w:rsid w:val="0033376E"/>
    <w:rsid w:val="00334605"/>
    <w:rsid w:val="003453E5"/>
    <w:rsid w:val="003454E5"/>
    <w:rsid w:val="0034788E"/>
    <w:rsid w:val="003557FB"/>
    <w:rsid w:val="00355A62"/>
    <w:rsid w:val="00355BF9"/>
    <w:rsid w:val="0035633F"/>
    <w:rsid w:val="0035789F"/>
    <w:rsid w:val="00366E70"/>
    <w:rsid w:val="00376267"/>
    <w:rsid w:val="003832FE"/>
    <w:rsid w:val="00391028"/>
    <w:rsid w:val="0039477F"/>
    <w:rsid w:val="00397601"/>
    <w:rsid w:val="003B4EED"/>
    <w:rsid w:val="003C04BC"/>
    <w:rsid w:val="003C2460"/>
    <w:rsid w:val="003C288E"/>
    <w:rsid w:val="003C614F"/>
    <w:rsid w:val="003D30B0"/>
    <w:rsid w:val="003D57D0"/>
    <w:rsid w:val="003D7D76"/>
    <w:rsid w:val="003E4DD2"/>
    <w:rsid w:val="003E6F50"/>
    <w:rsid w:val="003E7FA0"/>
    <w:rsid w:val="003F11D5"/>
    <w:rsid w:val="003F2F1D"/>
    <w:rsid w:val="003F67D0"/>
    <w:rsid w:val="003F749E"/>
    <w:rsid w:val="0040461C"/>
    <w:rsid w:val="00410851"/>
    <w:rsid w:val="00417DB7"/>
    <w:rsid w:val="00421565"/>
    <w:rsid w:val="00423C83"/>
    <w:rsid w:val="00436049"/>
    <w:rsid w:val="00441B8E"/>
    <w:rsid w:val="00443351"/>
    <w:rsid w:val="00444B4C"/>
    <w:rsid w:val="00451CD2"/>
    <w:rsid w:val="004528F5"/>
    <w:rsid w:val="00452F76"/>
    <w:rsid w:val="00455829"/>
    <w:rsid w:val="00456921"/>
    <w:rsid w:val="00457C64"/>
    <w:rsid w:val="00461871"/>
    <w:rsid w:val="004618B1"/>
    <w:rsid w:val="00463995"/>
    <w:rsid w:val="00463CC5"/>
    <w:rsid w:val="004643DF"/>
    <w:rsid w:val="00466CC0"/>
    <w:rsid w:val="00473A30"/>
    <w:rsid w:val="00476349"/>
    <w:rsid w:val="00476BC3"/>
    <w:rsid w:val="00495F12"/>
    <w:rsid w:val="004B13F5"/>
    <w:rsid w:val="004B5664"/>
    <w:rsid w:val="004B78BD"/>
    <w:rsid w:val="004C0D70"/>
    <w:rsid w:val="004C17B4"/>
    <w:rsid w:val="004C3F02"/>
    <w:rsid w:val="004C44B5"/>
    <w:rsid w:val="004C48FB"/>
    <w:rsid w:val="004C7CA5"/>
    <w:rsid w:val="004D1E20"/>
    <w:rsid w:val="004D351A"/>
    <w:rsid w:val="004D416F"/>
    <w:rsid w:val="004E01C6"/>
    <w:rsid w:val="004E0E3D"/>
    <w:rsid w:val="004E5FEC"/>
    <w:rsid w:val="004F0212"/>
    <w:rsid w:val="004F167E"/>
    <w:rsid w:val="004F481E"/>
    <w:rsid w:val="004F613B"/>
    <w:rsid w:val="005018FE"/>
    <w:rsid w:val="00510672"/>
    <w:rsid w:val="00512719"/>
    <w:rsid w:val="005218EC"/>
    <w:rsid w:val="005343EB"/>
    <w:rsid w:val="00535F22"/>
    <w:rsid w:val="00543B42"/>
    <w:rsid w:val="005466D5"/>
    <w:rsid w:val="00550758"/>
    <w:rsid w:val="00550AE6"/>
    <w:rsid w:val="00551CFA"/>
    <w:rsid w:val="005553BB"/>
    <w:rsid w:val="00557920"/>
    <w:rsid w:val="005620E7"/>
    <w:rsid w:val="00563D7B"/>
    <w:rsid w:val="005742B9"/>
    <w:rsid w:val="005868D7"/>
    <w:rsid w:val="005874D3"/>
    <w:rsid w:val="00591AF2"/>
    <w:rsid w:val="005A3C11"/>
    <w:rsid w:val="005A42E6"/>
    <w:rsid w:val="005A4B76"/>
    <w:rsid w:val="005A4BEF"/>
    <w:rsid w:val="005B1310"/>
    <w:rsid w:val="005B2705"/>
    <w:rsid w:val="005B722C"/>
    <w:rsid w:val="005C02B4"/>
    <w:rsid w:val="005D0534"/>
    <w:rsid w:val="005E122C"/>
    <w:rsid w:val="005E4111"/>
    <w:rsid w:val="005E5CB9"/>
    <w:rsid w:val="005E6DCB"/>
    <w:rsid w:val="006102BC"/>
    <w:rsid w:val="00611754"/>
    <w:rsid w:val="00611B1A"/>
    <w:rsid w:val="00614851"/>
    <w:rsid w:val="00621B69"/>
    <w:rsid w:val="00623ED7"/>
    <w:rsid w:val="006319F8"/>
    <w:rsid w:val="00644EFF"/>
    <w:rsid w:val="0064668A"/>
    <w:rsid w:val="006557B8"/>
    <w:rsid w:val="00674C94"/>
    <w:rsid w:val="00681882"/>
    <w:rsid w:val="006964B5"/>
    <w:rsid w:val="006A01A1"/>
    <w:rsid w:val="006A6AA9"/>
    <w:rsid w:val="006B4002"/>
    <w:rsid w:val="006B62A7"/>
    <w:rsid w:val="006B632A"/>
    <w:rsid w:val="006C233B"/>
    <w:rsid w:val="006D5A1C"/>
    <w:rsid w:val="006E4125"/>
    <w:rsid w:val="006F764B"/>
    <w:rsid w:val="007001E9"/>
    <w:rsid w:val="00700358"/>
    <w:rsid w:val="0070335C"/>
    <w:rsid w:val="00705C7C"/>
    <w:rsid w:val="00706802"/>
    <w:rsid w:val="00706952"/>
    <w:rsid w:val="0070696E"/>
    <w:rsid w:val="00710F63"/>
    <w:rsid w:val="0071287A"/>
    <w:rsid w:val="00712B3E"/>
    <w:rsid w:val="0071327E"/>
    <w:rsid w:val="00713643"/>
    <w:rsid w:val="00715E12"/>
    <w:rsid w:val="00716DA9"/>
    <w:rsid w:val="007200FC"/>
    <w:rsid w:val="00725EA1"/>
    <w:rsid w:val="00732F07"/>
    <w:rsid w:val="00735ECD"/>
    <w:rsid w:val="00746FE0"/>
    <w:rsid w:val="007508A6"/>
    <w:rsid w:val="00754662"/>
    <w:rsid w:val="00754B5F"/>
    <w:rsid w:val="00760A75"/>
    <w:rsid w:val="00762040"/>
    <w:rsid w:val="00765735"/>
    <w:rsid w:val="00770470"/>
    <w:rsid w:val="00774481"/>
    <w:rsid w:val="007833E6"/>
    <w:rsid w:val="00785998"/>
    <w:rsid w:val="007908BA"/>
    <w:rsid w:val="00796029"/>
    <w:rsid w:val="007A10EA"/>
    <w:rsid w:val="007D2D53"/>
    <w:rsid w:val="007D40AF"/>
    <w:rsid w:val="007E18FA"/>
    <w:rsid w:val="007E1E1B"/>
    <w:rsid w:val="007E67E7"/>
    <w:rsid w:val="007F4B19"/>
    <w:rsid w:val="008033D6"/>
    <w:rsid w:val="0080561A"/>
    <w:rsid w:val="00805833"/>
    <w:rsid w:val="00806085"/>
    <w:rsid w:val="00806444"/>
    <w:rsid w:val="0080667C"/>
    <w:rsid w:val="00806F5B"/>
    <w:rsid w:val="00816BEF"/>
    <w:rsid w:val="0082556A"/>
    <w:rsid w:val="00827355"/>
    <w:rsid w:val="008332D6"/>
    <w:rsid w:val="00833DB3"/>
    <w:rsid w:val="00835494"/>
    <w:rsid w:val="008368AC"/>
    <w:rsid w:val="008368BB"/>
    <w:rsid w:val="00836E13"/>
    <w:rsid w:val="00846269"/>
    <w:rsid w:val="00850B1E"/>
    <w:rsid w:val="0085227F"/>
    <w:rsid w:val="00857920"/>
    <w:rsid w:val="0086013E"/>
    <w:rsid w:val="0086759A"/>
    <w:rsid w:val="008677B9"/>
    <w:rsid w:val="0087265E"/>
    <w:rsid w:val="00873E4D"/>
    <w:rsid w:val="00887189"/>
    <w:rsid w:val="00897663"/>
    <w:rsid w:val="008A5E70"/>
    <w:rsid w:val="008B35A5"/>
    <w:rsid w:val="008B793C"/>
    <w:rsid w:val="008C08EE"/>
    <w:rsid w:val="008C10F8"/>
    <w:rsid w:val="008E2874"/>
    <w:rsid w:val="008E37C2"/>
    <w:rsid w:val="008E470E"/>
    <w:rsid w:val="008E6AAA"/>
    <w:rsid w:val="008E7B1F"/>
    <w:rsid w:val="008F13B1"/>
    <w:rsid w:val="008F1B7C"/>
    <w:rsid w:val="008F6B54"/>
    <w:rsid w:val="0090497F"/>
    <w:rsid w:val="0091127F"/>
    <w:rsid w:val="00911B13"/>
    <w:rsid w:val="00915568"/>
    <w:rsid w:val="009239B7"/>
    <w:rsid w:val="00923DD8"/>
    <w:rsid w:val="00927A17"/>
    <w:rsid w:val="009316C0"/>
    <w:rsid w:val="00943979"/>
    <w:rsid w:val="0095087C"/>
    <w:rsid w:val="00964219"/>
    <w:rsid w:val="00967A2B"/>
    <w:rsid w:val="009752F2"/>
    <w:rsid w:val="00977866"/>
    <w:rsid w:val="009852DF"/>
    <w:rsid w:val="00987357"/>
    <w:rsid w:val="00996883"/>
    <w:rsid w:val="009A2A1C"/>
    <w:rsid w:val="009A2F5F"/>
    <w:rsid w:val="009B2251"/>
    <w:rsid w:val="009B2698"/>
    <w:rsid w:val="009C3E13"/>
    <w:rsid w:val="009C54DB"/>
    <w:rsid w:val="009C651A"/>
    <w:rsid w:val="009E56CF"/>
    <w:rsid w:val="009F33A2"/>
    <w:rsid w:val="009F5015"/>
    <w:rsid w:val="00A0296A"/>
    <w:rsid w:val="00A16475"/>
    <w:rsid w:val="00A17AF7"/>
    <w:rsid w:val="00A24DD0"/>
    <w:rsid w:val="00A3324D"/>
    <w:rsid w:val="00A35005"/>
    <w:rsid w:val="00A372F6"/>
    <w:rsid w:val="00A454F1"/>
    <w:rsid w:val="00A634FA"/>
    <w:rsid w:val="00A640DB"/>
    <w:rsid w:val="00A65943"/>
    <w:rsid w:val="00A70950"/>
    <w:rsid w:val="00A8092D"/>
    <w:rsid w:val="00A832C5"/>
    <w:rsid w:val="00A87ECF"/>
    <w:rsid w:val="00A90F04"/>
    <w:rsid w:val="00AA1376"/>
    <w:rsid w:val="00AA14CA"/>
    <w:rsid w:val="00AA3383"/>
    <w:rsid w:val="00AA3464"/>
    <w:rsid w:val="00AB119D"/>
    <w:rsid w:val="00AB1D0A"/>
    <w:rsid w:val="00AB78FB"/>
    <w:rsid w:val="00AC0633"/>
    <w:rsid w:val="00AD3FB3"/>
    <w:rsid w:val="00AE514C"/>
    <w:rsid w:val="00AE5787"/>
    <w:rsid w:val="00AF0D63"/>
    <w:rsid w:val="00AF1B6D"/>
    <w:rsid w:val="00AF5407"/>
    <w:rsid w:val="00AF5C27"/>
    <w:rsid w:val="00B03C48"/>
    <w:rsid w:val="00B07B0B"/>
    <w:rsid w:val="00B07BF8"/>
    <w:rsid w:val="00B159E5"/>
    <w:rsid w:val="00B17945"/>
    <w:rsid w:val="00B2039C"/>
    <w:rsid w:val="00B214AC"/>
    <w:rsid w:val="00B232BA"/>
    <w:rsid w:val="00B23E2B"/>
    <w:rsid w:val="00B31F0A"/>
    <w:rsid w:val="00B33E64"/>
    <w:rsid w:val="00B45397"/>
    <w:rsid w:val="00B467E3"/>
    <w:rsid w:val="00B5136D"/>
    <w:rsid w:val="00B534CD"/>
    <w:rsid w:val="00B55CD5"/>
    <w:rsid w:val="00B64273"/>
    <w:rsid w:val="00B64767"/>
    <w:rsid w:val="00B65938"/>
    <w:rsid w:val="00B7212A"/>
    <w:rsid w:val="00B744BE"/>
    <w:rsid w:val="00B80F89"/>
    <w:rsid w:val="00B9040C"/>
    <w:rsid w:val="00B92F16"/>
    <w:rsid w:val="00BA0D2F"/>
    <w:rsid w:val="00BA2C19"/>
    <w:rsid w:val="00BA5998"/>
    <w:rsid w:val="00BB337D"/>
    <w:rsid w:val="00BC1371"/>
    <w:rsid w:val="00BC529F"/>
    <w:rsid w:val="00BD6596"/>
    <w:rsid w:val="00BD7505"/>
    <w:rsid w:val="00BE1EF7"/>
    <w:rsid w:val="00BF4CD1"/>
    <w:rsid w:val="00C0583A"/>
    <w:rsid w:val="00C07A6F"/>
    <w:rsid w:val="00C10426"/>
    <w:rsid w:val="00C10575"/>
    <w:rsid w:val="00C20CB1"/>
    <w:rsid w:val="00C22AD0"/>
    <w:rsid w:val="00C24B97"/>
    <w:rsid w:val="00C256DB"/>
    <w:rsid w:val="00C3015B"/>
    <w:rsid w:val="00C31BF3"/>
    <w:rsid w:val="00C32B70"/>
    <w:rsid w:val="00C34A95"/>
    <w:rsid w:val="00C36855"/>
    <w:rsid w:val="00C36E64"/>
    <w:rsid w:val="00C46AE0"/>
    <w:rsid w:val="00C47858"/>
    <w:rsid w:val="00C511E7"/>
    <w:rsid w:val="00C66DBF"/>
    <w:rsid w:val="00C67A39"/>
    <w:rsid w:val="00C70ECA"/>
    <w:rsid w:val="00C72A34"/>
    <w:rsid w:val="00C739D1"/>
    <w:rsid w:val="00C74C86"/>
    <w:rsid w:val="00C7617C"/>
    <w:rsid w:val="00C91646"/>
    <w:rsid w:val="00C94D65"/>
    <w:rsid w:val="00CA1A4E"/>
    <w:rsid w:val="00CA1D71"/>
    <w:rsid w:val="00CA2035"/>
    <w:rsid w:val="00CA4104"/>
    <w:rsid w:val="00CB1051"/>
    <w:rsid w:val="00CB248F"/>
    <w:rsid w:val="00CB7C8D"/>
    <w:rsid w:val="00CC2A34"/>
    <w:rsid w:val="00CC3C9E"/>
    <w:rsid w:val="00CD2A60"/>
    <w:rsid w:val="00CD5BCE"/>
    <w:rsid w:val="00CF71CF"/>
    <w:rsid w:val="00D004CD"/>
    <w:rsid w:val="00D00E45"/>
    <w:rsid w:val="00D03A92"/>
    <w:rsid w:val="00D14B5A"/>
    <w:rsid w:val="00D27549"/>
    <w:rsid w:val="00D31D01"/>
    <w:rsid w:val="00D33FAE"/>
    <w:rsid w:val="00D34E7F"/>
    <w:rsid w:val="00D3545E"/>
    <w:rsid w:val="00D40622"/>
    <w:rsid w:val="00D43029"/>
    <w:rsid w:val="00D47F43"/>
    <w:rsid w:val="00D56E78"/>
    <w:rsid w:val="00D6610C"/>
    <w:rsid w:val="00D70B1D"/>
    <w:rsid w:val="00D71E27"/>
    <w:rsid w:val="00D739C7"/>
    <w:rsid w:val="00D75D59"/>
    <w:rsid w:val="00D803E7"/>
    <w:rsid w:val="00D82A48"/>
    <w:rsid w:val="00D902B4"/>
    <w:rsid w:val="00D90C29"/>
    <w:rsid w:val="00D91393"/>
    <w:rsid w:val="00D93376"/>
    <w:rsid w:val="00D93F51"/>
    <w:rsid w:val="00DA3F8E"/>
    <w:rsid w:val="00DA507D"/>
    <w:rsid w:val="00DA6A90"/>
    <w:rsid w:val="00DA6FB1"/>
    <w:rsid w:val="00DB1828"/>
    <w:rsid w:val="00DB3B68"/>
    <w:rsid w:val="00DB3C57"/>
    <w:rsid w:val="00DB6677"/>
    <w:rsid w:val="00DC2B7D"/>
    <w:rsid w:val="00DC668C"/>
    <w:rsid w:val="00DD5026"/>
    <w:rsid w:val="00DD575C"/>
    <w:rsid w:val="00DD5F6E"/>
    <w:rsid w:val="00DF157A"/>
    <w:rsid w:val="00E01CAF"/>
    <w:rsid w:val="00E0503A"/>
    <w:rsid w:val="00E0548F"/>
    <w:rsid w:val="00E05B17"/>
    <w:rsid w:val="00E05CF5"/>
    <w:rsid w:val="00E071A3"/>
    <w:rsid w:val="00E208A1"/>
    <w:rsid w:val="00E23E58"/>
    <w:rsid w:val="00E44BEC"/>
    <w:rsid w:val="00E5363A"/>
    <w:rsid w:val="00E632C4"/>
    <w:rsid w:val="00E642B4"/>
    <w:rsid w:val="00E805EA"/>
    <w:rsid w:val="00E9160B"/>
    <w:rsid w:val="00E91F5D"/>
    <w:rsid w:val="00EA2B30"/>
    <w:rsid w:val="00EA4305"/>
    <w:rsid w:val="00EA4327"/>
    <w:rsid w:val="00EB14C0"/>
    <w:rsid w:val="00ED3516"/>
    <w:rsid w:val="00ED70A9"/>
    <w:rsid w:val="00EE485E"/>
    <w:rsid w:val="00EE7D62"/>
    <w:rsid w:val="00EF1F31"/>
    <w:rsid w:val="00EF6890"/>
    <w:rsid w:val="00F009E7"/>
    <w:rsid w:val="00F00E18"/>
    <w:rsid w:val="00F0100A"/>
    <w:rsid w:val="00F054D0"/>
    <w:rsid w:val="00F14659"/>
    <w:rsid w:val="00F16184"/>
    <w:rsid w:val="00F1745E"/>
    <w:rsid w:val="00F35EBB"/>
    <w:rsid w:val="00F43EC1"/>
    <w:rsid w:val="00F53CB8"/>
    <w:rsid w:val="00F5419C"/>
    <w:rsid w:val="00F6280F"/>
    <w:rsid w:val="00F668D6"/>
    <w:rsid w:val="00F775B9"/>
    <w:rsid w:val="00F85898"/>
    <w:rsid w:val="00F87202"/>
    <w:rsid w:val="00F9294F"/>
    <w:rsid w:val="00F93FE6"/>
    <w:rsid w:val="00F97A14"/>
    <w:rsid w:val="00FA1437"/>
    <w:rsid w:val="00FA672B"/>
    <w:rsid w:val="00FB42BB"/>
    <w:rsid w:val="00FD6F1B"/>
    <w:rsid w:val="00FE43B6"/>
    <w:rsid w:val="00FE5622"/>
    <w:rsid w:val="00FF151B"/>
    <w:rsid w:val="00FF29EE"/>
    <w:rsid w:val="00FF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1E9A-B7CD-4C56-8DCC-BC804FDB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mileham@breckland-sholland.gov.uk" TargetMode="External"/><Relationship Id="rId4" Type="http://schemas.openxmlformats.org/officeDocument/2006/relationships/hyperlink" Target="mailto:mike.brennan@breck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Mileham, Phil</dc:creator>
  <cp:keywords/>
  <dc:description/>
  <cp:lastModifiedBy>Mileham, Phil</cp:lastModifiedBy>
  <cp:revision>9</cp:revision>
  <dcterms:created xsi:type="dcterms:W3CDTF">2015-08-05T07:15:00Z</dcterms:created>
  <dcterms:modified xsi:type="dcterms:W3CDTF">2015-08-05T08:45:00Z</dcterms:modified>
</cp:coreProperties>
</file>